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D0CAB8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В целях повышения качества образования и подготовки учащихся к жизни в современном мире я разработала и активно внедряю образовательный маршрут, направленный на развитие функциональной грамотности, с особым акцентом на математическую и финансовую составляющие. Этот маршрут представляет собой систему взаимосвязанных мероприятий, направленных на формирование у учащихся умения применять полученные знания и навыки в реальных жизненных ситуациях.</w:t>
      </w:r>
    </w:p>
    <w:p w14:paraId="3DFDCC36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Основные компоненты образовательного маршрута:</w:t>
      </w:r>
    </w:p>
    <w:p w14:paraId="4C900583">
      <w:pPr>
        <w:numPr>
          <w:ilvl w:val="0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Интеграция задач контекстного характера в урочную деятельность:</w:t>
      </w:r>
    </w:p>
    <w:p w14:paraId="4C3060E2">
      <w:pPr>
        <w:numPr>
          <w:ilvl w:val="1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Включение в уроки математики задач, моделирующих реальные жизненные ситуации, которые требуют применения математических знаний для решения практических проблем.</w:t>
      </w:r>
    </w:p>
    <w:p w14:paraId="7701A653">
      <w:pPr>
        <w:numPr>
          <w:ilvl w:val="1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Примеры:</w:t>
      </w:r>
    </w:p>
    <w:p w14:paraId="1556B165">
      <w:pPr>
        <w:numPr>
          <w:ilvl w:val="2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Расчет семейного бюджета, планирование расходов и доходов.</w:t>
      </w:r>
    </w:p>
    <w:p w14:paraId="39E03141">
      <w:pPr>
        <w:numPr>
          <w:ilvl w:val="2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Анализ различных кредитных предложений и выбор наиболее выгодного.</w:t>
      </w:r>
    </w:p>
    <w:p w14:paraId="68CE61FA">
      <w:pPr>
        <w:numPr>
          <w:ilvl w:val="2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Оценка выгодности различных инвестиционных инструментов.</w:t>
      </w:r>
    </w:p>
    <w:p w14:paraId="5091AC14">
      <w:pPr>
        <w:numPr>
          <w:ilvl w:val="2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Решение задач, связанных с покупкой товаров, оплатой услуг, расчётом налогов и т. д.</w:t>
      </w:r>
    </w:p>
    <w:p w14:paraId="7F83698E">
      <w:pPr>
        <w:numPr>
          <w:ilvl w:val="0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Использование кейс-метода:</w:t>
      </w:r>
    </w:p>
    <w:p w14:paraId="6F757B2C">
      <w:pPr>
        <w:numPr>
          <w:ilvl w:val="1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Работа с кейсами (реальными или смоделированными ситуациями), требующими анализа информации, выявления проблем, разработки решений и аргументации своей позиции с использованием математических и финансовых инструментов.</w:t>
      </w:r>
    </w:p>
    <w:p w14:paraId="09033A4D">
      <w:pPr>
        <w:numPr>
          <w:ilvl w:val="1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Примеры:</w:t>
      </w:r>
    </w:p>
    <w:p w14:paraId="5BE0646D">
      <w:pPr>
        <w:numPr>
          <w:ilvl w:val="2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Разработка бизнес-плана для небольшого предприятия.</w:t>
      </w:r>
    </w:p>
    <w:p w14:paraId="4A799C3D">
      <w:pPr>
        <w:numPr>
          <w:ilvl w:val="2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Анализ рисков и выгод при покупке недвижимости.</w:t>
      </w:r>
    </w:p>
    <w:p w14:paraId="366BA68E">
      <w:pPr>
        <w:numPr>
          <w:ilvl w:val="2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Принятие решений в условиях ограниченных ресурсов.</w:t>
      </w:r>
    </w:p>
    <w:p w14:paraId="5AE1599F">
      <w:pPr>
        <w:numPr>
          <w:ilvl w:val="2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Разработка стратегии управления личными финансами.</w:t>
      </w:r>
    </w:p>
    <w:p w14:paraId="1237FFE8">
      <w:pPr>
        <w:numPr>
          <w:ilvl w:val="0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Проведение внеурочных мероприятий:</w:t>
      </w:r>
    </w:p>
    <w:p w14:paraId="09612447">
      <w:pPr>
        <w:numPr>
          <w:ilvl w:val="1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Организация математических игр, квестов, викторин, финансовых симуляций и других мероприятий, направленных на развитие интереса к математике и финансовой грамотности.</w:t>
      </w:r>
    </w:p>
    <w:p w14:paraId="6EB965B9">
      <w:pPr>
        <w:numPr>
          <w:ilvl w:val="1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Примеры:</w:t>
      </w:r>
    </w:p>
    <w:p w14:paraId="5980514F">
      <w:pPr>
        <w:numPr>
          <w:ilvl w:val="2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Математический бой “Финансовый гений”.</w:t>
      </w:r>
    </w:p>
    <w:p w14:paraId="2ABC1B24">
      <w:pPr>
        <w:numPr>
          <w:ilvl w:val="2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Квест “В поисках сокровищ”.</w:t>
      </w:r>
    </w:p>
    <w:p w14:paraId="0D6A0CF2">
      <w:pPr>
        <w:numPr>
          <w:ilvl w:val="2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Финансовая симуляция “Моя первая инвестиция”.</w:t>
      </w:r>
    </w:p>
    <w:p w14:paraId="387F63BA">
      <w:pPr>
        <w:numPr>
          <w:ilvl w:val="2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Деловая игра “Бюджет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семьи</w:t>
      </w:r>
      <w:r>
        <w:rPr>
          <w:rFonts w:hint="default" w:ascii="Times New Roman" w:hAnsi="Times New Roman" w:cs="Times New Roman"/>
          <w:sz w:val="24"/>
          <w:szCs w:val="24"/>
        </w:rPr>
        <w:t>”.</w:t>
      </w:r>
    </w:p>
    <w:p w14:paraId="0A2198CF">
      <w:pPr>
        <w:numPr>
          <w:ilvl w:val="0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Использование онлайн-платформ и ресурсов:</w:t>
      </w:r>
    </w:p>
    <w:p w14:paraId="45F0068E">
      <w:pPr>
        <w:numPr>
          <w:ilvl w:val="1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Использование онлайн-платформ и ресурсов для изучения финансовых концепций, решения задач и прохождения тестов.</w:t>
      </w:r>
    </w:p>
    <w:p w14:paraId="243848C2">
      <w:pPr>
        <w:numPr>
          <w:ilvl w:val="1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Примеры:</w:t>
      </w:r>
    </w:p>
    <w:p w14:paraId="1E4C05C8">
      <w:pPr>
        <w:numPr>
          <w:ilvl w:val="2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Платформы Банка России (например, “Финансовая культура”).</w:t>
      </w:r>
    </w:p>
    <w:p w14:paraId="6586922F">
      <w:pPr>
        <w:numPr>
          <w:ilvl w:val="2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Ресурсы Финансового университета при Правительстве РФ.</w:t>
      </w:r>
    </w:p>
    <w:p w14:paraId="76A30EAE">
      <w:pPr>
        <w:numPr>
          <w:ilvl w:val="2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Онлайн-калькуляторы и симуляторы для расчёта кредитов, вкладов и других финансовых инструментов.</w:t>
      </w:r>
    </w:p>
    <w:p w14:paraId="687721D8">
      <w:pPr>
        <w:numPr>
          <w:ilvl w:val="2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Интерактивные курсы по финансовой грамотности.</w:t>
      </w:r>
    </w:p>
    <w:p w14:paraId="47F735AB">
      <w:pPr>
        <w:numPr>
          <w:ilvl w:val="2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Интернет ресурсы:</w:t>
      </w:r>
    </w:p>
    <w:p w14:paraId="78D7BA73">
      <w:pPr>
        <w:numPr>
          <w:ilvl w:val="0"/>
          <w:numId w:val="0"/>
        </w:numPr>
        <w:spacing w:line="360" w:lineRule="auto"/>
        <w:ind w:firstLine="360" w:firstLineChars="150"/>
        <w:jc w:val="both"/>
        <w:rPr>
          <w:rFonts w:hint="default" w:ascii="Times New Roman" w:hAnsi="Times New Roman" w:eastAsia="Arial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ru-RU"/>
        </w:rPr>
      </w:pPr>
      <w:r>
        <w:rPr>
          <w:rFonts w:hint="default" w:ascii="Times New Roman" w:hAnsi="Times New Roman" w:eastAsia="Arial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ru-RU"/>
        </w:rPr>
        <w:fldChar w:fldCharType="begin"/>
      </w:r>
      <w:r>
        <w:rPr>
          <w:rFonts w:hint="default" w:ascii="Times New Roman" w:hAnsi="Times New Roman" w:eastAsia="Arial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ru-RU"/>
        </w:rPr>
        <w:instrText xml:space="preserve"> HYPERLINK "https://fg.resh.edu.ru/" </w:instrText>
      </w:r>
      <w:r>
        <w:rPr>
          <w:rFonts w:hint="default" w:ascii="Times New Roman" w:hAnsi="Times New Roman" w:eastAsia="Arial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ru-RU"/>
        </w:rPr>
        <w:fldChar w:fldCharType="separate"/>
      </w:r>
      <w:r>
        <w:rPr>
          <w:rStyle w:val="13"/>
          <w:rFonts w:hint="default" w:ascii="Times New Roman" w:hAnsi="Times New Roman" w:eastAsia="Arial"/>
          <w:b w:val="0"/>
          <w:bCs w:val="0"/>
          <w:i w:val="0"/>
          <w:iCs w:val="0"/>
          <w:caps w:val="0"/>
          <w:spacing w:val="0"/>
          <w:sz w:val="24"/>
          <w:szCs w:val="24"/>
          <w:shd w:val="clear" w:fill="FFFFFF"/>
          <w:lang w:val="ru-RU"/>
        </w:rPr>
        <w:t>https://fg.resh.edu.ru/</w:t>
      </w:r>
      <w:r>
        <w:rPr>
          <w:rFonts w:hint="default" w:ascii="Times New Roman" w:hAnsi="Times New Roman" w:eastAsia="Arial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ru-RU"/>
        </w:rPr>
        <w:fldChar w:fldCharType="end"/>
      </w:r>
    </w:p>
    <w:p w14:paraId="78954784">
      <w:pPr>
        <w:numPr>
          <w:ilvl w:val="0"/>
          <w:numId w:val="0"/>
        </w:numPr>
        <w:spacing w:line="360" w:lineRule="auto"/>
        <w:ind w:firstLine="360" w:firstLineChars="150"/>
        <w:jc w:val="both"/>
        <w:rPr>
          <w:rFonts w:hint="default" w:ascii="Times New Roman" w:hAnsi="Times New Roman" w:eastAsia="Arial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ru-RU"/>
        </w:rPr>
      </w:pPr>
      <w:r>
        <w:rPr>
          <w:rFonts w:hint="default" w:ascii="Times New Roman" w:hAnsi="Times New Roman" w:eastAsia="Arial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ru-RU"/>
        </w:rPr>
        <w:fldChar w:fldCharType="begin"/>
      </w:r>
      <w:r>
        <w:rPr>
          <w:rFonts w:hint="default" w:ascii="Times New Roman" w:hAnsi="Times New Roman" w:eastAsia="Arial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ru-RU"/>
        </w:rPr>
        <w:instrText xml:space="preserve"> HYPERLINK "https://web.archive.org/web/20231209080232/http:/skiv.instrao.ru/bank-zadaniy/" </w:instrText>
      </w:r>
      <w:r>
        <w:rPr>
          <w:rFonts w:hint="default" w:ascii="Times New Roman" w:hAnsi="Times New Roman" w:eastAsia="Arial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ru-RU"/>
        </w:rPr>
        <w:fldChar w:fldCharType="separate"/>
      </w:r>
      <w:r>
        <w:rPr>
          <w:rStyle w:val="13"/>
          <w:rFonts w:hint="default" w:ascii="Times New Roman" w:hAnsi="Times New Roman" w:eastAsia="Arial"/>
          <w:b w:val="0"/>
          <w:bCs w:val="0"/>
          <w:i w:val="0"/>
          <w:iCs w:val="0"/>
          <w:caps w:val="0"/>
          <w:spacing w:val="0"/>
          <w:sz w:val="24"/>
          <w:szCs w:val="24"/>
          <w:shd w:val="clear" w:fill="FFFFFF"/>
          <w:lang w:val="ru-RU"/>
        </w:rPr>
        <w:t>https://web.archive.org/web/20231209080232/http://skiv.instrao.ru/bank-zadaniy/</w:t>
      </w:r>
      <w:r>
        <w:rPr>
          <w:rFonts w:hint="default" w:ascii="Times New Roman" w:hAnsi="Times New Roman" w:eastAsia="Arial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ru-RU"/>
        </w:rPr>
        <w:fldChar w:fldCharType="end"/>
      </w:r>
      <w:r>
        <w:rPr>
          <w:rFonts w:hint="default" w:ascii="Times New Roman" w:hAnsi="Times New Roman" w:eastAsia="Arial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ru-RU"/>
        </w:rPr>
        <w:t>;</w:t>
      </w:r>
    </w:p>
    <w:p w14:paraId="39A41030">
      <w:pPr>
        <w:numPr>
          <w:ilvl w:val="0"/>
          <w:numId w:val="0"/>
        </w:numPr>
        <w:spacing w:line="360" w:lineRule="auto"/>
        <w:ind w:firstLine="360" w:firstLineChars="150"/>
        <w:jc w:val="both"/>
        <w:rPr>
          <w:rFonts w:hint="default" w:ascii="Times New Roman" w:hAnsi="Times New Roman" w:eastAsia="Arial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ru-RU"/>
        </w:rPr>
      </w:pPr>
      <w:r>
        <w:rPr>
          <w:rFonts w:hint="default" w:ascii="Times New Roman" w:hAnsi="Times New Roman" w:eastAsia="Arial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ru-RU"/>
        </w:rPr>
        <w:fldChar w:fldCharType="begin"/>
      </w:r>
      <w:r>
        <w:rPr>
          <w:rFonts w:hint="default" w:ascii="Times New Roman" w:hAnsi="Times New Roman" w:eastAsia="Arial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ru-RU"/>
        </w:rPr>
        <w:instrText xml:space="preserve"> HYPERLINK "https://ramsch98.edumsko.ru/activity/fg/tz" </w:instrText>
      </w:r>
      <w:r>
        <w:rPr>
          <w:rFonts w:hint="default" w:ascii="Times New Roman" w:hAnsi="Times New Roman" w:eastAsia="Arial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ru-RU"/>
        </w:rPr>
        <w:fldChar w:fldCharType="separate"/>
      </w:r>
      <w:r>
        <w:rPr>
          <w:rStyle w:val="13"/>
          <w:rFonts w:hint="default" w:ascii="Times New Roman" w:hAnsi="Times New Roman" w:eastAsia="Arial"/>
          <w:b w:val="0"/>
          <w:bCs w:val="0"/>
          <w:i w:val="0"/>
          <w:iCs w:val="0"/>
          <w:caps w:val="0"/>
          <w:spacing w:val="0"/>
          <w:sz w:val="24"/>
          <w:szCs w:val="24"/>
          <w:shd w:val="clear" w:fill="FFFFFF"/>
          <w:lang w:val="ru-RU"/>
        </w:rPr>
        <w:t>https://ramsch98.edumsko.ru/activity/fg/tz</w:t>
      </w:r>
      <w:r>
        <w:rPr>
          <w:rFonts w:hint="default" w:ascii="Times New Roman" w:hAnsi="Times New Roman" w:eastAsia="Arial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ru-RU"/>
        </w:rPr>
        <w:fldChar w:fldCharType="end"/>
      </w:r>
      <w:r>
        <w:rPr>
          <w:rFonts w:hint="default" w:ascii="Times New Roman" w:hAnsi="Times New Roman" w:eastAsia="Arial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ru-RU"/>
        </w:rPr>
        <w:t>;</w:t>
      </w:r>
    </w:p>
    <w:p w14:paraId="56F72ED9">
      <w:pPr>
        <w:numPr>
          <w:ilvl w:val="0"/>
          <w:numId w:val="0"/>
        </w:numPr>
        <w:spacing w:line="360" w:lineRule="auto"/>
        <w:ind w:firstLine="360" w:firstLineChars="150"/>
        <w:jc w:val="both"/>
        <w:rPr>
          <w:rFonts w:hint="default" w:ascii="Times New Roman" w:hAnsi="Times New Roman" w:eastAsia="Arial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tt-RU"/>
        </w:rPr>
      </w:pPr>
      <w:r>
        <w:rPr>
          <w:rFonts w:hint="default" w:ascii="Times New Roman" w:hAnsi="Times New Roman" w:eastAsia="Arial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tt-RU"/>
        </w:rPr>
        <w:fldChar w:fldCharType="begin"/>
      </w:r>
      <w:r>
        <w:rPr>
          <w:rFonts w:hint="default" w:ascii="Times New Roman" w:hAnsi="Times New Roman" w:eastAsia="Arial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tt-RU"/>
        </w:rPr>
        <w:instrText xml:space="preserve"> HYPERLINK "https://www.geogebra.org/" </w:instrText>
      </w:r>
      <w:r>
        <w:rPr>
          <w:rFonts w:hint="default" w:ascii="Times New Roman" w:hAnsi="Times New Roman" w:eastAsia="Arial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tt-RU"/>
        </w:rPr>
        <w:fldChar w:fldCharType="separate"/>
      </w:r>
      <w:r>
        <w:rPr>
          <w:rStyle w:val="13"/>
          <w:rFonts w:hint="default" w:ascii="Times New Roman" w:hAnsi="Times New Roman" w:eastAsia="Arial"/>
          <w:b w:val="0"/>
          <w:bCs w:val="0"/>
          <w:i w:val="0"/>
          <w:iCs w:val="0"/>
          <w:caps w:val="0"/>
          <w:spacing w:val="0"/>
          <w:sz w:val="24"/>
          <w:szCs w:val="24"/>
          <w:shd w:val="clear" w:fill="FFFFFF"/>
          <w:lang w:val="tt-RU"/>
        </w:rPr>
        <w:t>https://www.geogebra.org/</w:t>
      </w:r>
      <w:r>
        <w:rPr>
          <w:rFonts w:hint="default" w:ascii="Times New Roman" w:hAnsi="Times New Roman" w:eastAsia="Arial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tt-RU"/>
        </w:rPr>
        <w:fldChar w:fldCharType="end"/>
      </w:r>
    </w:p>
    <w:p w14:paraId="7D47B043">
      <w:pPr>
        <w:numPr>
          <w:ilvl w:val="0"/>
          <w:numId w:val="0"/>
        </w:numPr>
        <w:spacing w:line="360" w:lineRule="auto"/>
        <w:ind w:firstLine="360" w:firstLineChars="150"/>
        <w:jc w:val="both"/>
        <w:rPr>
          <w:rFonts w:hint="default" w:ascii="Times New Roman" w:hAnsi="Times New Roman" w:eastAsia="Arial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tt-RU"/>
        </w:rPr>
      </w:pPr>
    </w:p>
    <w:p w14:paraId="25E70B67">
      <w:pPr>
        <w:numPr>
          <w:numId w:val="0"/>
        </w:numPr>
        <w:spacing w:line="360" w:lineRule="auto"/>
        <w:ind w:left="1800" w:leftChars="0"/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3D5A4664">
      <w:pPr>
        <w:numPr>
          <w:ilvl w:val="0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Привлечение экспертов и практиков:</w:t>
      </w:r>
    </w:p>
    <w:p w14:paraId="4B4B4BE2">
      <w:pPr>
        <w:numPr>
          <w:ilvl w:val="1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Организация встреч и мастер-классов с представителями банков, финансовых компаний, предпринимателями и другими специалистами, имеющими опыт работы в сфере финансов.</w:t>
      </w:r>
    </w:p>
    <w:p w14:paraId="22AB09F9">
      <w:pPr>
        <w:numPr>
          <w:ilvl w:val="1"/>
          <w:numId w:val="1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Цель: предоставить учащимся возможность получить практические знания, задать вопросы и обменяться опытом.</w:t>
      </w:r>
    </w:p>
    <w:p w14:paraId="16AA6C60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Цели и задачи образовательного маршрута:</w:t>
      </w:r>
    </w:p>
    <w:p w14:paraId="230C6D54">
      <w:pPr>
        <w:numPr>
          <w:ilvl w:val="0"/>
          <w:numId w:val="2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Цель:</w:t>
      </w:r>
      <w:r>
        <w:rPr>
          <w:rFonts w:hint="default" w:ascii="Times New Roman" w:hAnsi="Times New Roman" w:cs="Times New Roman"/>
          <w:sz w:val="24"/>
          <w:szCs w:val="24"/>
        </w:rPr>
        <w:t> формирование у учащихся основ математической и финансовой грамотности, необходимых для успешной адаптации к современным экономическим условиям и принятия обоснованных финансовых решений.</w:t>
      </w:r>
    </w:p>
    <w:p w14:paraId="2ECAE9D0">
      <w:pPr>
        <w:numPr>
          <w:ilvl w:val="0"/>
          <w:numId w:val="2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Задачи:</w:t>
      </w:r>
    </w:p>
    <w:p w14:paraId="3978902D">
      <w:pPr>
        <w:numPr>
          <w:ilvl w:val="1"/>
          <w:numId w:val="2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Развитие умения применять математические знания для решения практических задач.</w:t>
      </w:r>
    </w:p>
    <w:p w14:paraId="613FF05A">
      <w:pPr>
        <w:numPr>
          <w:ilvl w:val="1"/>
          <w:numId w:val="2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Формирование навыков анализа финансовой информации.</w:t>
      </w:r>
    </w:p>
    <w:p w14:paraId="6CF49D03">
      <w:pPr>
        <w:numPr>
          <w:ilvl w:val="1"/>
          <w:numId w:val="2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Воспитание ответственного отношения к личным финансам.</w:t>
      </w:r>
    </w:p>
    <w:p w14:paraId="7F3860A4">
      <w:pPr>
        <w:numPr>
          <w:ilvl w:val="1"/>
          <w:numId w:val="2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Развитие критического мышления и умения принимать обоснованные решения в финансовой сфере.</w:t>
      </w:r>
    </w:p>
    <w:p w14:paraId="30E06ACA">
      <w:pPr>
        <w:numPr>
          <w:ilvl w:val="1"/>
          <w:numId w:val="2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Повышение интереса к изучению математики и экономики.</w:t>
      </w:r>
    </w:p>
    <w:p w14:paraId="2C6DA0EC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Ожидаемые результаты:</w:t>
      </w:r>
    </w:p>
    <w:p w14:paraId="04C359E6">
      <w:pPr>
        <w:numPr>
          <w:ilvl w:val="0"/>
          <w:numId w:val="3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Повышение уровня математической и финансовой грамотности учащихся.</w:t>
      </w:r>
    </w:p>
    <w:p w14:paraId="555C9010">
      <w:pPr>
        <w:numPr>
          <w:ilvl w:val="0"/>
          <w:numId w:val="3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Формирование навыков анализа финансовой информации и принятия обоснованных решений.</w:t>
      </w:r>
    </w:p>
    <w:p w14:paraId="5B0FA8E7">
      <w:pPr>
        <w:numPr>
          <w:ilvl w:val="0"/>
          <w:numId w:val="3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Развитие интереса к изучению математики и экономики.</w:t>
      </w:r>
    </w:p>
    <w:p w14:paraId="02CF7FC3">
      <w:pPr>
        <w:numPr>
          <w:ilvl w:val="0"/>
          <w:numId w:val="3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Улучшение результатов участия в олимпиадах и конкурсах по математике и финансовой грамотности.</w:t>
      </w:r>
    </w:p>
    <w:p w14:paraId="6D650725">
      <w:pPr>
        <w:numPr>
          <w:ilvl w:val="0"/>
          <w:numId w:val="3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Успешная адаптация выпускников к жизни в современном экономическом пространстве.</w:t>
      </w:r>
    </w:p>
    <w:p w14:paraId="57D01632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Этот образовательный маршрут позволяет не только повысить уровень знаний учащихся, но и сформировать у них навыки, необходимые для успешной жизни в современном обществе. Я уверена, что реализация этого маршрута способствует формированию активных, ответственных и финансово грамотных граждан.</w:t>
      </w:r>
      <w:bookmarkStart w:id="0" w:name="_GoBack"/>
      <w:bookmarkEnd w:id="0"/>
    </w:p>
    <w:p w14:paraId="69C0C7E4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</w:p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A238A"/>
    <w:multiLevelType w:val="multilevel"/>
    <w:tmpl w:val="207A238A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53F52594"/>
    <w:multiLevelType w:val="multilevel"/>
    <w:tmpl w:val="53F5259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70873701"/>
    <w:multiLevelType w:val="multilevel"/>
    <w:tmpl w:val="7087370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F0D"/>
    <w:rsid w:val="000B3040"/>
    <w:rsid w:val="004323F0"/>
    <w:rsid w:val="004E6B97"/>
    <w:rsid w:val="00A20FD7"/>
    <w:rsid w:val="00C14F0D"/>
    <w:rsid w:val="029E6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2F5597" w:themeColor="accent1" w:themeShade="BF"/>
      <w:sz w:val="28"/>
      <w:szCs w:val="28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2F5597" w:themeColor="accent1" w:themeShade="BF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Hyperlink"/>
    <w:basedOn w:val="11"/>
    <w:uiPriority w:val="0"/>
    <w:rPr>
      <w:color w:val="0000FF"/>
      <w:u w:val="single"/>
    </w:rPr>
  </w:style>
  <w:style w:type="paragraph" w:styleId="14">
    <w:name w:val="Title"/>
    <w:basedOn w:val="1"/>
    <w:next w:val="1"/>
    <w:link w:val="25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15">
    <w:name w:val="Subtitle"/>
    <w:basedOn w:val="1"/>
    <w:next w:val="1"/>
    <w:link w:val="26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16">
    <w:name w:val="Заголовок 1 Знак"/>
    <w:basedOn w:val="11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7">
    <w:name w:val="Заголовок 2 Знак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8">
    <w:name w:val="Заголовок 3 Знак"/>
    <w:basedOn w:val="11"/>
    <w:link w:val="4"/>
    <w:semiHidden/>
    <w:qFormat/>
    <w:uiPriority w:val="9"/>
    <w:rPr>
      <w:rFonts w:eastAsiaTheme="majorEastAsia" w:cstheme="majorBidi"/>
      <w:color w:val="2F5597" w:themeColor="accent1" w:themeShade="BF"/>
      <w:sz w:val="28"/>
      <w:szCs w:val="28"/>
    </w:rPr>
  </w:style>
  <w:style w:type="character" w:customStyle="1" w:styleId="19">
    <w:name w:val="Заголовок 4 Знак"/>
    <w:basedOn w:val="11"/>
    <w:link w:val="5"/>
    <w:semiHidden/>
    <w:qFormat/>
    <w:uiPriority w:val="9"/>
    <w:rPr>
      <w:rFonts w:eastAsiaTheme="majorEastAsia" w:cstheme="majorBidi"/>
      <w:i/>
      <w:iCs/>
      <w:color w:val="2F5597" w:themeColor="accent1" w:themeShade="BF"/>
    </w:rPr>
  </w:style>
  <w:style w:type="character" w:customStyle="1" w:styleId="20">
    <w:name w:val="Заголовок 5 Знак"/>
    <w:basedOn w:val="11"/>
    <w:link w:val="6"/>
    <w:semiHidden/>
    <w:qFormat/>
    <w:uiPriority w:val="9"/>
    <w:rPr>
      <w:rFonts w:eastAsiaTheme="majorEastAsia" w:cstheme="majorBidi"/>
      <w:color w:val="2F5597" w:themeColor="accent1" w:themeShade="BF"/>
    </w:rPr>
  </w:style>
  <w:style w:type="character" w:customStyle="1" w:styleId="21">
    <w:name w:val="Заголовок 6 Знак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Заголовок 7 Знак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Заголовок 8 Знак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Заголовок 9 Знак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">
    <w:name w:val="Заголовок Знак"/>
    <w:basedOn w:val="11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Подзаголовок Знак"/>
    <w:basedOn w:val="11"/>
    <w:link w:val="15"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Цитата 2 Знак"/>
    <w:basedOn w:val="11"/>
    <w:link w:val="27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Intense Emphasis"/>
    <w:basedOn w:val="11"/>
    <w:qFormat/>
    <w:uiPriority w:val="21"/>
    <w:rPr>
      <w:i/>
      <w:iCs/>
      <w:color w:val="2F5597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2">
    <w:name w:val="Выделенная цитата Знак"/>
    <w:basedOn w:val="11"/>
    <w:link w:val="31"/>
    <w:uiPriority w:val="30"/>
    <w:rPr>
      <w:i/>
      <w:iCs/>
      <w:color w:val="2F5597" w:themeColor="accent1" w:themeShade="BF"/>
    </w:rPr>
  </w:style>
  <w:style w:type="character" w:customStyle="1" w:styleId="33">
    <w:name w:val="Intense Reference"/>
    <w:basedOn w:val="11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567</Words>
  <Characters>3234</Characters>
  <Lines>26</Lines>
  <Paragraphs>7</Paragraphs>
  <TotalTime>35</TotalTime>
  <ScaleCrop>false</ScaleCrop>
  <LinksUpToDate>false</LinksUpToDate>
  <CharactersWithSpaces>3794</CharactersWithSpaces>
  <Application>WPS Office_12.2.0.20326_F1E327BC-269C-435d-A152-05C5408002CA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2025-03-30T19:09:00Z</dcterms:created>
  <dc:creator>Ралия Гарифуллина</dc:creator>
  <cp:lastModifiedBy>Railya</cp:lastModifiedBy>
  <dcterms:modified xsi:type="dcterms:W3CDTF">2025-03-31T07:30:18Z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1049-12.2.0.20326</vt:lpwstr>
  </property>
  <property fmtid="{D5CDD505-2E9C-101B-9397-08002B2CF9AE}" pid="3" name="ICV">
    <vt:lpwstr>C1E7B4D168B545DF883F3D531549A0E5_12</vt:lpwstr>
  </property>
</Properties>
</file>